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62C1" w:rsidRDefault="00AA2A78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73F2FBE7" wp14:editId="4BB6BCDC">
            <wp:simplePos x="0" y="0"/>
            <wp:positionH relativeFrom="margin">
              <wp:posOffset>-402589</wp:posOffset>
            </wp:positionH>
            <wp:positionV relativeFrom="margin">
              <wp:posOffset>-606424</wp:posOffset>
            </wp:positionV>
            <wp:extent cx="7168515" cy="1423035"/>
            <wp:effectExtent l="0" t="0" r="0" b="0"/>
            <wp:wrapSquare wrapText="bothSides" distT="0" distB="0" distL="114300" distR="114300"/>
            <wp:docPr id="2" name="image2.jpg" descr="EMAdata s.r.o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EMAdata s.r.o.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8515" cy="1423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C782C26" wp14:editId="69427AAE">
                <wp:simplePos x="0" y="0"/>
                <wp:positionH relativeFrom="column">
                  <wp:posOffset>-1003299</wp:posOffset>
                </wp:positionH>
                <wp:positionV relativeFrom="paragraph">
                  <wp:posOffset>812800</wp:posOffset>
                </wp:positionV>
                <wp:extent cx="8414385" cy="12700"/>
                <wp:effectExtent l="0" t="0" r="0" b="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38808" y="3779683"/>
                          <a:ext cx="841438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-1003299</wp:posOffset>
                </wp:positionH>
                <wp:positionV relativeFrom="paragraph">
                  <wp:posOffset>812800</wp:posOffset>
                </wp:positionV>
                <wp:extent cx="8414385" cy="127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43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002" w14:textId="77777777" w:rsidR="009762C1" w:rsidRDefault="009762C1"/>
    <w:p w14:paraId="00000003" w14:textId="77777777" w:rsidR="009762C1" w:rsidRDefault="00AA2A78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Češi fandí očkování proti </w:t>
      </w:r>
      <w:proofErr w:type="spellStart"/>
      <w:r>
        <w:rPr>
          <w:b/>
          <w:sz w:val="52"/>
          <w:szCs w:val="52"/>
        </w:rPr>
        <w:t>koronaviru</w:t>
      </w:r>
      <w:proofErr w:type="spellEnd"/>
      <w:r>
        <w:rPr>
          <w:b/>
          <w:sz w:val="52"/>
          <w:szCs w:val="52"/>
        </w:rPr>
        <w:t>, odmítají ale jeho zvýhodňování životními pojišťovnami</w:t>
      </w:r>
    </w:p>
    <w:p w14:paraId="00000004" w14:textId="77777777" w:rsidR="009762C1" w:rsidRDefault="009762C1"/>
    <w:p w14:paraId="00000005" w14:textId="5B0FCFEB" w:rsidR="009762C1" w:rsidRDefault="00A974EF">
      <w:pPr>
        <w:jc w:val="right"/>
      </w:pPr>
      <w:r>
        <w:t>Úterý</w:t>
      </w:r>
      <w:r w:rsidR="00AA2A78">
        <w:t xml:space="preserve"> </w:t>
      </w:r>
      <w:r>
        <w:t>17</w:t>
      </w:r>
      <w:r w:rsidR="00AA2A78">
        <w:t>. srpna 2021</w:t>
      </w:r>
    </w:p>
    <w:p w14:paraId="00000006" w14:textId="77777777" w:rsidR="009762C1" w:rsidRDefault="009762C1">
      <w:pPr>
        <w:rPr>
          <w:sz w:val="24"/>
          <w:szCs w:val="24"/>
        </w:rPr>
      </w:pPr>
    </w:p>
    <w:p w14:paraId="00000007" w14:textId="05C391E5" w:rsidR="009762C1" w:rsidRDefault="00AA2A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Většina Čechů se staví k očkování proti </w:t>
      </w:r>
      <w:proofErr w:type="spellStart"/>
      <w:r>
        <w:rPr>
          <w:b/>
          <w:sz w:val="24"/>
          <w:szCs w:val="24"/>
        </w:rPr>
        <w:t>koronaviru</w:t>
      </w:r>
      <w:proofErr w:type="spellEnd"/>
      <w:r>
        <w:rPr>
          <w:b/>
          <w:sz w:val="24"/>
          <w:szCs w:val="24"/>
        </w:rPr>
        <w:t xml:space="preserve"> vstřícně a jsou ochotni se nechat očkovat, popř. již po očkování, je 63 % z nich. Vyplynulo to z průzkumu společnosti EMA data. Bez ohledu na postoj k očkování by se ale jeho odmítnutí nemělo promítat do jednání komerčních firem a u životního pojištění by podle 39 % Čechů neměli být očkovaní nijak zvýhodněni.</w:t>
      </w:r>
    </w:p>
    <w:p w14:paraId="00000008" w14:textId="62BBB711" w:rsidR="009762C1" w:rsidRDefault="00AA2A78">
      <w:pPr>
        <w:rPr>
          <w:sz w:val="24"/>
          <w:szCs w:val="24"/>
        </w:rPr>
      </w:pPr>
      <w:r>
        <w:rPr>
          <w:sz w:val="24"/>
          <w:szCs w:val="24"/>
        </w:rPr>
        <w:t xml:space="preserve">Očkování proti </w:t>
      </w:r>
      <w:proofErr w:type="spellStart"/>
      <w:r>
        <w:rPr>
          <w:sz w:val="24"/>
          <w:szCs w:val="24"/>
        </w:rPr>
        <w:t>koronaviru</w:t>
      </w:r>
      <w:proofErr w:type="spellEnd"/>
      <w:r>
        <w:rPr>
          <w:sz w:val="24"/>
          <w:szCs w:val="24"/>
        </w:rPr>
        <w:t xml:space="preserve"> je již řadu měsíců klíčovým tématem veřejné diskuse. Aktuálně má v České republice podle statistik dokončené očkování už přes 5 milionů lidí a zdravotníci aplikovali již 10,5 milionů dávek vakcíny. </w:t>
      </w:r>
      <w:r>
        <w:rPr>
          <w:i/>
          <w:sz w:val="24"/>
          <w:szCs w:val="24"/>
        </w:rPr>
        <w:t>„Většina populace je pro očkování, řada dokonce bez jakýchkoli výhrad. Čtvrtině ale vadí, že si nemohou zvolit, jakou vakcínou se nechají naočkovat,“</w:t>
      </w:r>
      <w:r>
        <w:rPr>
          <w:sz w:val="24"/>
          <w:szCs w:val="24"/>
        </w:rPr>
        <w:t xml:space="preserve"> upřesňuje Petr Zámečník, </w:t>
      </w:r>
      <w:proofErr w:type="spellStart"/>
      <w:r>
        <w:rPr>
          <w:sz w:val="24"/>
          <w:szCs w:val="24"/>
        </w:rPr>
        <w:t>Content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Chief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Officer</w:t>
      </w:r>
      <w:proofErr w:type="spellEnd"/>
      <w:r>
        <w:rPr>
          <w:sz w:val="24"/>
          <w:szCs w:val="24"/>
        </w:rPr>
        <w:t xml:space="preserve"> společnosti EMA data, která na dané téma provedla průzkum. Zdrženlivěji se k očkování staví ženy, lidé do 40 let či domácnosti s nižšími příjmy.</w:t>
      </w:r>
    </w:p>
    <w:p w14:paraId="00000009" w14:textId="19F9FCE1" w:rsidR="009762C1" w:rsidRDefault="009762C1">
      <w:pPr>
        <w:rPr>
          <w:sz w:val="24"/>
          <w:szCs w:val="24"/>
        </w:rPr>
      </w:pPr>
    </w:p>
    <w:p w14:paraId="0000000A" w14:textId="55A92966" w:rsidR="009762C1" w:rsidRDefault="00612A2B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5A6190D" wp14:editId="79D03FC2">
            <wp:extent cx="4577715" cy="2747010"/>
            <wp:effectExtent l="0" t="0" r="13335" b="1524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9CFC02F8-2097-4BA0-B971-0C4541F184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00000B" w14:textId="32146992" w:rsidR="009762C1" w:rsidRDefault="00AA2A7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Sankce pro </w:t>
      </w:r>
      <w:r w:rsidR="00184524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>očkované? Nesouhlasíme!</w:t>
      </w:r>
    </w:p>
    <w:p w14:paraId="0000000C" w14:textId="5DE6A273" w:rsidR="009762C1" w:rsidRDefault="00AA2A78">
      <w:pPr>
        <w:rPr>
          <w:sz w:val="24"/>
          <w:szCs w:val="24"/>
        </w:rPr>
      </w:pPr>
      <w:r>
        <w:rPr>
          <w:sz w:val="24"/>
          <w:szCs w:val="24"/>
        </w:rPr>
        <w:t xml:space="preserve">Bez ohledu na to, zda souhlasí s očkováním či nikoli, nechtějí Češi zvýhodňovat skupinu očkovaných v životním pojištění. Proti takovému zvýhodnění je 39 % z nich, 25 % dokonce rozhodně proti. Naopak souhlas s ním v průzkumu EMA data vyjádřilo 29 % respondentů. </w:t>
      </w:r>
      <w:r>
        <w:rPr>
          <w:i/>
          <w:sz w:val="24"/>
          <w:szCs w:val="24"/>
        </w:rPr>
        <w:t>„Nesouhlas s promítnutím očkování do pojistných podmínek logicky stoupá u těch, kteří očkování odmítají. Je ale vyšší také u těch, kteří si chtějí sami volit očkovací látku, byť ne v tak velké míře. Je to přirozené, pokud s něčím nesouhlasíme, nechceme být za to nijak sankcionováni,“</w:t>
      </w:r>
      <w:r>
        <w:rPr>
          <w:sz w:val="24"/>
          <w:szCs w:val="24"/>
        </w:rPr>
        <w:t xml:space="preserve"> doplňuje Martin Viktora, co-</w:t>
      </w:r>
      <w:proofErr w:type="spellStart"/>
      <w:r>
        <w:rPr>
          <w:sz w:val="24"/>
          <w:szCs w:val="24"/>
        </w:rPr>
        <w:t>founder</w:t>
      </w:r>
      <w:proofErr w:type="spellEnd"/>
      <w:r>
        <w:rPr>
          <w:sz w:val="24"/>
          <w:szCs w:val="24"/>
        </w:rPr>
        <w:t xml:space="preserve"> EMA data. Odmítači očkování nesouhlasí s jeho zvýhodněním u životního pojištění v 60 %, ti, co žádají o vlastní volbu vakcíny pak ve 36 %.</w:t>
      </w:r>
    </w:p>
    <w:p w14:paraId="0000000F" w14:textId="51681733" w:rsidR="009762C1" w:rsidRDefault="00FC618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BC1BF6D" wp14:editId="24DD80F5">
            <wp:extent cx="4648200" cy="2590800"/>
            <wp:effectExtent l="0" t="0" r="0" b="0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id="{7CADCF44-1958-419F-BA13-5A11296E4B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000010" w14:textId="77777777" w:rsidR="009762C1" w:rsidRDefault="00AA2A78">
      <w:pPr>
        <w:rPr>
          <w:b/>
          <w:sz w:val="24"/>
          <w:szCs w:val="24"/>
        </w:rPr>
      </w:pPr>
      <w:r>
        <w:rPr>
          <w:b/>
          <w:sz w:val="24"/>
          <w:szCs w:val="24"/>
        </w:rPr>
        <w:t>O průzkumu:</w:t>
      </w:r>
    </w:p>
    <w:p w14:paraId="00000011" w14:textId="77777777" w:rsidR="009762C1" w:rsidRDefault="00AA2A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Průzkum společnosti EMA data proběhl on-line a zúčastnilo se ho 1 179 respondentů ve věku </w:t>
      </w:r>
      <w:proofErr w:type="gramStart"/>
      <w:r>
        <w:rPr>
          <w:sz w:val="24"/>
          <w:szCs w:val="24"/>
        </w:rPr>
        <w:t>21 – 61</w:t>
      </w:r>
      <w:proofErr w:type="gramEnd"/>
      <w:r>
        <w:rPr>
          <w:sz w:val="24"/>
          <w:szCs w:val="24"/>
        </w:rPr>
        <w:t> let v reprezentativním zastoupení podle pohlaví, věku, regionu a ekonomické aktivity.  Sběr dat probíhal v období 27. 5. – 9. 6. 2021.  </w:t>
      </w:r>
    </w:p>
    <w:p w14:paraId="00000012" w14:textId="77777777" w:rsidR="009762C1" w:rsidRDefault="009762C1">
      <w:pPr>
        <w:rPr>
          <w:sz w:val="24"/>
          <w:szCs w:val="24"/>
        </w:rPr>
      </w:pPr>
    </w:p>
    <w:p w14:paraId="00000013" w14:textId="77777777" w:rsidR="009762C1" w:rsidRDefault="00AA2A78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 pro média:</w:t>
      </w:r>
    </w:p>
    <w:p w14:paraId="00000014" w14:textId="77777777" w:rsidR="009762C1" w:rsidRDefault="00AA2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Lucie Pech</w:t>
      </w:r>
    </w:p>
    <w:p w14:paraId="00000015" w14:textId="77777777" w:rsidR="009762C1" w:rsidRDefault="00AA2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 </w:t>
      </w:r>
      <w:proofErr w:type="spellStart"/>
      <w:r>
        <w:rPr>
          <w:sz w:val="24"/>
          <w:szCs w:val="24"/>
        </w:rPr>
        <w:t>Consultant</w:t>
      </w:r>
      <w:proofErr w:type="spellEnd"/>
    </w:p>
    <w:p w14:paraId="00000016" w14:textId="77777777" w:rsidR="009762C1" w:rsidRDefault="00AA2A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+420 731 615 033</w:t>
      </w:r>
      <w:r>
        <w:rPr>
          <w:sz w:val="24"/>
          <w:szCs w:val="24"/>
        </w:rPr>
        <w:br/>
      </w:r>
      <w:hyperlink r:id="rId10">
        <w:r>
          <w:rPr>
            <w:color w:val="0000FF"/>
            <w:sz w:val="24"/>
            <w:szCs w:val="24"/>
            <w:u w:val="single"/>
          </w:rPr>
          <w:t>lucie.pech@crestcom.cz</w:t>
        </w:r>
      </w:hyperlink>
    </w:p>
    <w:p w14:paraId="00000017" w14:textId="77777777" w:rsidR="009762C1" w:rsidRDefault="009762C1">
      <w:pPr>
        <w:rPr>
          <w:sz w:val="24"/>
          <w:szCs w:val="24"/>
        </w:rPr>
      </w:pPr>
    </w:p>
    <w:p w14:paraId="00000018" w14:textId="77777777" w:rsidR="009762C1" w:rsidRDefault="00AA2A78">
      <w:pPr>
        <w:rPr>
          <w:b/>
          <w:sz w:val="24"/>
          <w:szCs w:val="24"/>
        </w:rPr>
      </w:pPr>
      <w:r>
        <w:rPr>
          <w:b/>
          <w:sz w:val="24"/>
          <w:szCs w:val="24"/>
        </w:rPr>
        <w:t>O projektu EMA data:</w:t>
      </w:r>
    </w:p>
    <w:p w14:paraId="0000001A" w14:textId="77777777" w:rsidR="009762C1" w:rsidRDefault="00AA2A78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EMA data se zabývá monitoringem a analytikou finančního a realitního trhu. Usnadňuje strategická a byznysová rozhodování a nabízí přehled toho nejdůležitějšího, co se v oblasti financí a realit právě děje. Za projektem stojí lidé s dlouhodobými zkušenostmi v oboru, Jiří Paták, zakladatel mnoha digitálních start-upů jako je Chytrý Honza, Patron, LUSQ, EMA data, dále pak Martin Viktora, autor </w:t>
      </w:r>
      <w:r>
        <w:rPr>
          <w:sz w:val="24"/>
          <w:szCs w:val="24"/>
        </w:rPr>
        <w:lastRenderedPageBreak/>
        <w:t xml:space="preserve">úspěšných portálů Poradci-sobě.cz, Realiťáci-sobě.cz nebo finanční konference </w:t>
      </w:r>
      <w:proofErr w:type="spellStart"/>
      <w:r>
        <w:rPr>
          <w:sz w:val="24"/>
          <w:szCs w:val="24"/>
        </w:rPr>
        <w:t>FINfest</w:t>
      </w:r>
      <w:proofErr w:type="spellEnd"/>
      <w:r>
        <w:rPr>
          <w:sz w:val="24"/>
          <w:szCs w:val="24"/>
        </w:rPr>
        <w:t xml:space="preserve">, a Petr Zámečník, datový analytik, vysokoškolský pedagog a šéfredaktor webu Poradci-sobě.cz. </w:t>
      </w:r>
    </w:p>
    <w:p w14:paraId="0000001B" w14:textId="77777777" w:rsidR="009762C1" w:rsidRDefault="009762C1">
      <w:pPr>
        <w:jc w:val="both"/>
        <w:rPr>
          <w:sz w:val="24"/>
          <w:szCs w:val="24"/>
        </w:rPr>
      </w:pPr>
    </w:p>
    <w:sectPr w:rsidR="009762C1">
      <w:pgSz w:w="11906" w:h="16838"/>
      <w:pgMar w:top="1418" w:right="851" w:bottom="1418" w:left="851" w:header="0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2C1"/>
    <w:rsid w:val="00033CD0"/>
    <w:rsid w:val="000F4D1B"/>
    <w:rsid w:val="00184524"/>
    <w:rsid w:val="002978A6"/>
    <w:rsid w:val="00612A2B"/>
    <w:rsid w:val="009762C1"/>
    <w:rsid w:val="00A974EF"/>
    <w:rsid w:val="00AA2A78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8A98"/>
  <w15:docId w15:val="{A71E1E22-024C-4434-B158-85ECF40D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openxmlformats.org/officeDocument/2006/relationships/hyperlink" Target="mailto:lucie.pech@crestcom.cz" TargetMode="External"/><Relationship Id="rId4" Type="http://schemas.openxmlformats.org/officeDocument/2006/relationships/image" Target="media/image1.jpg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 sz="1200">
                <a:solidFill>
                  <a:sysClr val="windowText" lastClr="000000"/>
                </a:solidFill>
                <a:latin typeface="+mn-lt"/>
              </a:rPr>
              <a:t>Jaký je váš postoj k očkování proti koronaviru?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Jaký je váš postoj k očkování proti koronaviru?</c:v>
                </c:pt>
              </c:strCache>
            </c:strRef>
          </c:tx>
          <c:dPt>
            <c:idx val="0"/>
            <c:bubble3D val="0"/>
            <c:spPr>
              <a:solidFill>
                <a:srgbClr val="00528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D3-46EB-B100-DACA85A0166B}"/>
              </c:ext>
            </c:extLst>
          </c:dPt>
          <c:dPt>
            <c:idx val="1"/>
            <c:bubble3D val="0"/>
            <c:spPr>
              <a:solidFill>
                <a:srgbClr val="00BF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D3-46EB-B100-DACA85A0166B}"/>
              </c:ext>
            </c:extLst>
          </c:dPt>
          <c:dPt>
            <c:idx val="2"/>
            <c:bubble3D val="0"/>
            <c:spPr>
              <a:solidFill>
                <a:srgbClr val="D7266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D3-46EB-B100-DACA85A0166B}"/>
              </c:ext>
            </c:extLst>
          </c:dPt>
          <c:dPt>
            <c:idx val="3"/>
            <c:bubble3D val="0"/>
            <c:spPr>
              <a:solidFill>
                <a:srgbClr val="43434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D3-46EB-B100-DACA85A0166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Jsem již očkovaný/á</c:v>
                </c:pt>
                <c:pt idx="1">
                  <c:v>Chce se nechat očkovat a nezáleží mi na druhu schválené vakcíny</c:v>
                </c:pt>
                <c:pt idx="2">
                  <c:v>Chci se nechat očkovat, ale chci mít možnost volby vakcíny</c:v>
                </c:pt>
                <c:pt idx="3">
                  <c:v>Nechci se nechat očkovat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>
                  <c:v>0.27</c:v>
                </c:pt>
                <c:pt idx="1">
                  <c:v>0.09</c:v>
                </c:pt>
                <c:pt idx="2">
                  <c:v>0.27</c:v>
                </c:pt>
                <c:pt idx="3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5D3-46EB-B100-DACA85A0166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cs-CZ" sz="1600" b="1" i="0" u="none" strike="noStrike" kern="1200" spc="0" normalizeH="0" baseline="0">
                <a:solidFill>
                  <a:sysClr val="windowText" lastClr="000000"/>
                </a:solidFill>
                <a:latin typeface="+mn-lt"/>
                <a:ea typeface="+mj-ea"/>
                <a:cs typeface="+mj-cs"/>
              </a:defRPr>
            </a:pPr>
            <a:r>
              <a:rPr lang="cs-CZ" sz="1200" b="1" i="0" u="none" strike="noStrike" kern="1200" spc="0" normalizeH="0" baseline="0">
                <a:solidFill>
                  <a:sysClr val="windowText" lastClr="000000"/>
                </a:solidFill>
                <a:latin typeface="+mn-lt"/>
                <a:ea typeface="+mj-ea"/>
                <a:cs typeface="+mj-cs"/>
              </a:rPr>
              <a:t>Měli by být očkovaní proti koronaviru zvýhodněni v rámci komerčního životního pojištění?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cs-CZ" sz="1600" b="1" i="0" u="none" strike="noStrike" kern="1200" spc="0" normalizeH="0" baseline="0">
              <a:solidFill>
                <a:sysClr val="windowText" lastClr="000000"/>
              </a:solidFill>
              <a:latin typeface="+mn-lt"/>
              <a:ea typeface="+mj-ea"/>
              <a:cs typeface="+mj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528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C11-4049-B548-84A5A88E253D}"/>
              </c:ext>
            </c:extLst>
          </c:dPt>
          <c:dPt>
            <c:idx val="1"/>
            <c:bubble3D val="0"/>
            <c:spPr>
              <a:solidFill>
                <a:srgbClr val="00BFFF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C11-4049-B548-84A5A88E253D}"/>
              </c:ext>
            </c:extLst>
          </c:dPt>
          <c:dPt>
            <c:idx val="2"/>
            <c:bubble3D val="0"/>
            <c:spPr>
              <a:solidFill>
                <a:srgbClr val="D7266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C11-4049-B548-84A5A88E253D}"/>
              </c:ext>
            </c:extLst>
          </c:dPt>
          <c:dPt>
            <c:idx val="3"/>
            <c:bubble3D val="0"/>
            <c:spPr>
              <a:solidFill>
                <a:srgbClr val="43434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C11-4049-B548-84A5A88E253D}"/>
              </c:ext>
            </c:extLst>
          </c:dPt>
          <c:dPt>
            <c:idx val="4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C11-4049-B548-84A5A88E253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List1!$A$30:$A$34</c:f>
              <c:strCache>
                <c:ptCount val="5"/>
                <c:pt idx="0">
                  <c:v>Rozhodně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Rozhodně ne</c:v>
                </c:pt>
                <c:pt idx="4">
                  <c:v>Nevím</c:v>
                </c:pt>
              </c:strCache>
            </c:strRef>
          </c:cat>
          <c:val>
            <c:numRef>
              <c:f>List1!$B$30:$B$34</c:f>
              <c:numCache>
                <c:formatCode>0%</c:formatCode>
                <c:ptCount val="5"/>
                <c:pt idx="0">
                  <c:v>0.15</c:v>
                </c:pt>
                <c:pt idx="1">
                  <c:v>0.14000000000000001</c:v>
                </c:pt>
                <c:pt idx="2">
                  <c:v>0.14000000000000001</c:v>
                </c:pt>
                <c:pt idx="3">
                  <c:v>0.25</c:v>
                </c:pt>
                <c:pt idx="4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C11-4049-B548-84A5A88E253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Hampejsová</dc:creator>
  <cp:lastModifiedBy>Dokumenty Crestcom</cp:lastModifiedBy>
  <cp:revision>2</cp:revision>
  <dcterms:created xsi:type="dcterms:W3CDTF">2021-08-17T11:42:00Z</dcterms:created>
  <dcterms:modified xsi:type="dcterms:W3CDTF">2021-08-17T11:42:00Z</dcterms:modified>
</cp:coreProperties>
</file>